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16</w:t>
      </w:r>
    </w:p>
    <w:p>
      <w:r>
        <w:t>Bundesgericht (BGE), 1970-03-06, DE</w:t>
      </w:r>
    </w:p>
    <w:p>
      <w:r>
        <w:rPr>
          <w:b/>
        </w:rPr>
        <w:t xml:space="preserve">Quelle: </w:t>
      </w:r>
      <w:r>
        <w:t>https://mcp.opencaselaw.ch/entscheid/bge_96 IV 16</w:t>
      </w:r>
    </w:p>
    <w:p>
      <w:r>
        <w:t>FR: ATF 96 IV 16</w:t>
      </w:r>
    </w:p>
    <w:p>
      <w:r>
        <w:t>IT: DTF 96 IV 16</w:t>
      </w:r>
    </w:p>
    <w:p>
      <w:pPr>
        <w:pStyle w:val="Heading2"/>
      </w:pPr>
      <w:r>
        <w:t>Regeste</w:t>
      </w:r>
    </w:p>
    <w:p>
      <w:r>
        <w:t>Regeste Art. 123 Ziff. 1 Abs. 2 StGB. Der Gummiknüppel ist eine Waffe im Sinne dieser Bestimmung.</w:t>
      </w:r>
    </w:p>
    <w:p>
      <w:pPr>
        <w:pStyle w:val="Heading2"/>
      </w:pPr>
      <w:r>
        <w:t>Erwägungen</w:t>
      </w:r>
    </w:p>
    <w:p>
      <w:r>
        <w:rPr>
          <w:b/>
        </w:rPr>
        <w:t>E. 2</w:t>
      </w:r>
    </w:p>
    <w:p>
      <w:r>
        <w:t>Mit dem Hauptantrag macht der Beschwerdeführer geltend, auf die Anklage wegen einfacher Körperverletzung hätte nicht eingetreten werden dürfen, weil der Strafantrag vor Verkündung des erstinstanzlichen Urteils zurückgezogen worden sei ( Art. 31 Abs. 1 StGB ). Es ist nicht streitig, dass gemäss dem zwischen Preisig und Hefti abgeschlossenen Vergleich der Geschädigte seinen Strafantrag zurückgezogen hat. An der Verhandlung vor Bezirksgericht hat indessen der Bezirksanwalt die Anklage dahin berichtigt, dass Hefti sich im Sinne von Art. 123 Ziff. 1 Abs. 2 StGB schuldig gemacht habe, der erfüllt ist, wenn der Täter Gift, eine Waffe oder ein gefährliches Werkzeug gebraucht oder einen Wehrlosen verletzt hat. Der Gummiknüppel sei eine Waffe, zumindest aber ein gefährliches Werkzeug. Hefti sei daher von Amtes wegen zu verfolgen. Sofern diese Würdigung des Sachverbaltes zutrifft, kommt dem Rückzug des Strafantrages keine Bedeutung zu.</w:t>
      </w:r>
    </w:p>
    <w:p>
      <w:r>
        <w:rPr>
          <w:b/>
        </w:rPr>
        <w:t>E. 3</w:t>
      </w:r>
    </w:p>
    <w:p>
      <w:r>
        <w:t>Eine Waffe ist ein Gegenstand, der nach seiner Bestimmung zu Angriff oder Verteidigung dient. Der Beschwerdeführer anerkennt, dass dies nach dem allgemeinen Sprachgebrauch auf den Gummiknüppel zutrifft. Doch macht er geltend, in Art. 123 StGB komme dem Wort Waffe nicht diese Bedeutung zu. a) Seine Auffassung, wonach qualifizierte Tatbestände, wie Art. 123 Ziff. 1 Abs. 2, einschränkend zu interpretieren seien, ist abwegig. Strafnormen sind stets nach ihrem wahren Sinn auszulegen ( BGE 78 IV 40 , BGE 87 IV 118 ). Etwas anderes hat das BGE 96 IV 16 S. 19 Bundesgericht entgegen der Meinung des Beschwerdeführers auch in BGE 80 IV 108 nicht getan, als es beiläufig erwähnte, das Züchtigungsrecht des Täters schliesse die Wehrlosigkeit des Opfers im Sinne des Art. 123 Ziff. 1 Abs. 2 aus; dieser Entscheid ist übrigens durch BGE 85 IV 127 f. überholt. b) Der Beschwerdeführer glaubt, der Begriff der Waffe sei zu bestimmen, indem untersucht werde, ob die in Frage stehende Waffe einem gefährlichen Werkzeug gleichzusetzen sei. Waffe und Werkzeug unterscheiden sich im vorliegenden Zusammenhang dadurch, dass jene für Angriff und Verteidigung bestimmt ist, während dieses hiefür verwendet wird, jedoch eine andere Zweckbestimmung hat. Die Doktrin zur Art. 101 des französischen Code pénal stellt den Unterschied anschaulich dar, indem sie von "armes par leur nature" und "armes par l'usage qui en est fait" spricht (GARÇON, Code pénal annoté S. 440, GOYET, Précis de droit pénal spécial S. 362). In gleicher Weise setzt Art. 123 StGB das Werkzeug der Waffe gleich, nicht umgekehrt die Waffe dem Werkzeug. Ein Werkzeug ist gefährlich, wenn es so beschaffen ist, dass es, als Waffe verwendet, ähnliche Schädigungen hervorrufen kann wie eine Waffe bei bestimmungsgemässem Gebrauch. Nicht erforderlich ist eine besondere Gefährlichkeit. Der Beschwerdeführer bestreitet dies mit dem Einwand, die Gleichstellung mit gefährlichen Werkzeugen ergebe, dass der Gesetzgeber auch unter Waffen nur solche verstehe, die bei ihrer Einwirkung auf den menschlichen Körper immer zu einer Verletzung führen und die Gefahr einer schweren Schädigung bergen. Abgesehen davon, dass Wortlaut und Systematik des Gesetzes gegen diese Auffassung sprechen, wären, falls sie zuträfe, jedenfalls bei einem waffenkundigen Polizisten kaum mehr Fälle denkbar, in denen die schweren Folgen, wenn nicht vom Täter im Sinne des Eventualvorsatzes gewollt, für ihn nicht zumindest voraussehbar waren, womit Ziff. 2 ev. 3 des Art. 123 erfüllt wäre (vgl. GERMANN, Verbrechen S. 241). Der Hinweis des Beschwerdeführers auf das interkantonale Konkordat über den Waffenhandel und die zürcherische Waffenverordnung ist müssig. Dem Gummiknüppel geht der Charakter der Waffe nicht ab, weil er ohne Waffenschein erworben werden kann. Richtig ist, dass eine Waffe zu geringeren Schädigungen führen kann als ein Werkzeug. Ein Mensch kann mit Faustschlägen BGE 96 IV 16 S. 20 gefährlicher verletzt werden, als wenn ihm mit einer Flobert-Pistole ins Bein geschossen wird. Der Einwand geht aber an der Sache vorbei. Das Gesetz stellt nicht in erster Linie auf den Erfolg ab. Es will, dass der Täter, der eine einfache Körperverletzung begangen hat, von Amtes wegen verfolgt werde, weil er an sich infolge der Verwendung von Waffen, Gift oder gefährlichen Werkzeugen als gefährlicher erscheint, selbst wenn er im Einzelfall durch den Gebrauch der Waffe keine schweren Folgen herbeigeführt hat.</w:t>
      </w:r>
    </w:p>
    <w:p>
      <w:r>
        <w:rPr>
          <w:b/>
        </w:rPr>
        <w:t>E. 4</w:t>
      </w:r>
    </w:p>
    <w:p>
      <w:r>
        <w:t>Der Beschwerdeführer hält es für richtig, dass ein Polizist von Amtes wegen in Untersuchung gezogen wird, wenn er mit der Schusswaffe jemanden auch nur leicht verletzt. Es könne aber nicht der Wille des Gesetzes sein, den Gebrauch des Gummiknüppels gleich zu behandeln. Man dürfe der Polizei keine unnötigen und unverhältnismässigen Fesseln anlegen. Es sei für den Polizeibeamten unangenehm, in Strafuntersuchung gezogen zu werden, selbst wenn er einen Rechtfertigungsgrund habe. Man dürfe die Polizei nicht bei jedem handfesten Eingreifen der Gefahr einer Strafuntersuchung aussetzen. Die Polizei hat bei allen Zwangsmassnahmen gegenüber Privaten nach den Grundsätzen der Gesetzmässigkeit und der Verhältnismässigkeit zu verfahren ( BGE 94 IV 8 ). Das gilt ganz besonders beim Gebrauch jeder Art von Waffe und bei der Verletzung der körperlichen Integrität. Die Polizei besitzt keinen Freibrief zum Gebrauch des Gummiknüppels. Anderseits wird ein Polizist, der in Erfüllung seiner Pflicht aus zureichenden Gründen zur Waffe greift, auch beim Strafrichter Schutz und bei unbedeutenden Überschreitungen Verständnis finden ( BGE 94 IV 7 f.). Ein Schläger aber, der unbeteiligte, sich in keiner Weise zur Wehr setzende Personen mit dem Gummiknüppel traktiert und verletzt, verdient weder Verständnis noch Schutz. Gegen solches Tun ist im wohlverstandenen Interesse der Polizei selbst von Amtes wegen strafrechtlich einzuschreiten.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